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78" w:rsidRPr="00907778" w:rsidRDefault="00907778" w:rsidP="006B1C4E">
      <w:pPr>
        <w:rPr>
          <w:rFonts w:ascii="Tw Cen MT" w:hAnsi="Tw Cen MT"/>
        </w:rPr>
      </w:pPr>
      <w:r w:rsidRPr="00907778">
        <w:rPr>
          <w:rFonts w:ascii="Tw Cen MT" w:hAnsi="Tw Cen MT"/>
        </w:rPr>
        <w:t>Name: _____</w:t>
      </w:r>
      <w:r>
        <w:rPr>
          <w:rFonts w:ascii="Tw Cen MT" w:hAnsi="Tw Cen MT"/>
        </w:rPr>
        <w:t>________________________</w:t>
      </w:r>
      <w:r w:rsidRPr="00907778">
        <w:rPr>
          <w:rFonts w:ascii="Tw Cen MT" w:hAnsi="Tw Cen MT"/>
        </w:rPr>
        <w:t>_________________</w:t>
      </w:r>
      <w:r>
        <w:rPr>
          <w:rFonts w:ascii="Tw Cen MT" w:hAnsi="Tw Cen MT"/>
        </w:rPr>
        <w:t>___</w:t>
      </w:r>
      <w:proofErr w:type="gramStart"/>
      <w:r>
        <w:rPr>
          <w:rFonts w:ascii="Tw Cen MT" w:hAnsi="Tw Cen MT"/>
        </w:rPr>
        <w:t>_  CPT</w:t>
      </w:r>
      <w:proofErr w:type="gramEnd"/>
      <w:r>
        <w:rPr>
          <w:rFonts w:ascii="Tw Cen MT" w:hAnsi="Tw Cen MT"/>
        </w:rPr>
        <w:t>: ________________</w:t>
      </w:r>
      <w:r w:rsidRPr="00907778">
        <w:rPr>
          <w:rFonts w:ascii="Tw Cen MT" w:hAnsi="Tw Cen MT"/>
        </w:rPr>
        <w:t>________ A</w:t>
      </w:r>
      <w:r>
        <w:rPr>
          <w:rFonts w:ascii="Tw Cen MT" w:hAnsi="Tw Cen MT"/>
        </w:rPr>
        <w:t>dv. __________________</w:t>
      </w:r>
      <w:r w:rsidRPr="00907778">
        <w:rPr>
          <w:rFonts w:ascii="Tw Cen MT" w:hAnsi="Tw Cen MT"/>
        </w:rPr>
        <w:t>____</w:t>
      </w:r>
    </w:p>
    <w:p w:rsidR="00991C31" w:rsidRDefault="00991C31" w:rsidP="00907778">
      <w:pPr>
        <w:jc w:val="center"/>
        <w:rPr>
          <w:rFonts w:ascii="Tw Cen MT" w:hAnsi="Tw Cen MT"/>
          <w:b/>
          <w:sz w:val="28"/>
          <w:u w:val="single"/>
        </w:rPr>
      </w:pPr>
    </w:p>
    <w:p w:rsidR="00907778" w:rsidRPr="00991C31" w:rsidRDefault="00907778" w:rsidP="00991C31">
      <w:pPr>
        <w:jc w:val="center"/>
        <w:rPr>
          <w:rFonts w:ascii="Tw Cen MT" w:hAnsi="Tw Cen MT"/>
          <w:b/>
          <w:sz w:val="28"/>
          <w:u w:val="single"/>
        </w:rPr>
      </w:pPr>
      <w:r w:rsidRPr="006B1C4E">
        <w:rPr>
          <w:rFonts w:ascii="Tw Cen MT" w:hAnsi="Tw Cen MT"/>
          <w:b/>
          <w:sz w:val="28"/>
          <w:u w:val="single"/>
        </w:rPr>
        <w:t>SAY, MEAN, MATTER</w:t>
      </w:r>
    </w:p>
    <w:p w:rsidR="00907778" w:rsidRPr="00907778" w:rsidRDefault="00907778" w:rsidP="00907778">
      <w:pPr>
        <w:rPr>
          <w:rFonts w:ascii="Tw Cen MT" w:hAnsi="Tw Cen M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5"/>
        <w:gridCol w:w="3898"/>
        <w:gridCol w:w="6341"/>
      </w:tblGrid>
      <w:tr w:rsidR="00907778" w:rsidRPr="00907778" w:rsidTr="0022742D">
        <w:tc>
          <w:tcPr>
            <w:tcW w:w="3575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Say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1: Knowledge &amp; Comprehension)</w:t>
            </w:r>
          </w:p>
        </w:tc>
        <w:tc>
          <w:tcPr>
            <w:tcW w:w="3898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Mean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2: Application &amp; Analysis)</w:t>
            </w:r>
          </w:p>
        </w:tc>
        <w:tc>
          <w:tcPr>
            <w:tcW w:w="6341" w:type="dxa"/>
          </w:tcPr>
          <w:p w:rsid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Matter </w:t>
            </w:r>
          </w:p>
          <w:p w:rsidR="00907778" w:rsidRPr="006B1C4E" w:rsidRDefault="00907778" w:rsidP="00907778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3: Synthesis &amp; Evaluation)</w:t>
            </w:r>
          </w:p>
        </w:tc>
      </w:tr>
      <w:tr w:rsidR="00907778" w:rsidRPr="00907778" w:rsidTr="0022742D">
        <w:tc>
          <w:tcPr>
            <w:tcW w:w="3575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say? Paraphrase or Summarize it!</w:t>
            </w:r>
          </w:p>
        </w:tc>
        <w:tc>
          <w:tcPr>
            <w:tcW w:w="3898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mean? How do you interpret this? Read between the lines.</w:t>
            </w:r>
          </w:p>
        </w:tc>
        <w:tc>
          <w:tcPr>
            <w:tcW w:w="6341" w:type="dxa"/>
          </w:tcPr>
          <w:p w:rsidR="00907778" w:rsidRPr="00907778" w:rsidRDefault="00907778" w:rsidP="00907778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 xml:space="preserve">Why is this important in real life? Why does it matter to others? What </w:t>
            </w:r>
            <w:r w:rsidR="004C106D">
              <w:rPr>
                <w:rFonts w:ascii="Tw Cen MT" w:hAnsi="Tw Cen MT"/>
              </w:rPr>
              <w:t>a</w:t>
            </w:r>
            <w:r w:rsidRPr="00907778">
              <w:rPr>
                <w:rFonts w:ascii="Tw Cen MT" w:hAnsi="Tw Cen MT"/>
              </w:rPr>
              <w:t>re the implications?</w:t>
            </w:r>
            <w:r w:rsidR="00840AE3">
              <w:rPr>
                <w:rFonts w:ascii="Tw Cen MT" w:hAnsi="Tw Cen MT"/>
              </w:rPr>
              <w:t xml:space="preserve"> What is</w:t>
            </w:r>
            <w:r w:rsidR="004C106D">
              <w:rPr>
                <w:rFonts w:ascii="Tw Cen MT" w:hAnsi="Tw Cen MT"/>
              </w:rPr>
              <w:t xml:space="preserve"> your opinion about it, and why?</w:t>
            </w:r>
            <w:r w:rsidR="009A1E95">
              <w:rPr>
                <w:rFonts w:ascii="Tw Cen MT" w:hAnsi="Tw Cen MT"/>
              </w:rPr>
              <w:t xml:space="preserve"> (Continue on the back if you need more space)</w:t>
            </w:r>
          </w:p>
        </w:tc>
      </w:tr>
      <w:tr w:rsidR="0022742D" w:rsidRPr="00907778" w:rsidTr="0022742D">
        <w:trPr>
          <w:trHeight w:val="3150"/>
        </w:trPr>
        <w:tc>
          <w:tcPr>
            <w:tcW w:w="3575" w:type="dxa"/>
            <w:vMerge w:val="restart"/>
            <w:shd w:val="clear" w:color="auto" w:fill="auto"/>
          </w:tcPr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Default="0022742D" w:rsidP="00991C31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Pr="00611D1C" w:rsidRDefault="0022742D" w:rsidP="00991C31">
            <w:pPr>
              <w:pBdr>
                <w:bottom w:val="single" w:sz="12" w:space="1" w:color="auto"/>
              </w:pBdr>
              <w:rPr>
                <w:rFonts w:ascii="Tw Cen MT" w:hAnsi="Tw Cen MT"/>
                <w:color w:val="FF0000"/>
              </w:rPr>
            </w:pPr>
          </w:p>
          <w:p w:rsidR="0022742D" w:rsidRPr="00611D1C" w:rsidRDefault="0022742D" w:rsidP="00991C31">
            <w:pPr>
              <w:rPr>
                <w:rFonts w:ascii="Tw Cen MT" w:hAnsi="Tw Cen MT"/>
                <w:color w:val="FF0000"/>
              </w:rPr>
            </w:pPr>
          </w:p>
          <w:p w:rsidR="0022742D" w:rsidRDefault="0022742D" w:rsidP="006B1C4E">
            <w:pPr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Default="0022742D" w:rsidP="00907778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4C106D">
            <w:pPr>
              <w:rPr>
                <w:rFonts w:ascii="Tw Cen MT" w:hAnsi="Tw Cen MT"/>
              </w:rPr>
            </w:pPr>
          </w:p>
          <w:p w:rsidR="0022742D" w:rsidRDefault="0022742D" w:rsidP="004C106D">
            <w:pPr>
              <w:rPr>
                <w:rFonts w:ascii="Tw Cen MT" w:hAnsi="Tw Cen MT"/>
              </w:rPr>
            </w:pPr>
          </w:p>
          <w:p w:rsidR="0022742D" w:rsidRDefault="0022742D" w:rsidP="00991C31">
            <w:pPr>
              <w:rPr>
                <w:rFonts w:ascii="Tw Cen MT" w:hAnsi="Tw Cen MT"/>
              </w:rPr>
            </w:pPr>
          </w:p>
          <w:p w:rsidR="0022742D" w:rsidRPr="00907778" w:rsidRDefault="0022742D" w:rsidP="0090777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2742D" w:rsidRPr="00907778" w:rsidRDefault="0022742D" w:rsidP="0090777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22742D" w:rsidRPr="00907778" w:rsidRDefault="0022742D" w:rsidP="00907778">
            <w:pPr>
              <w:jc w:val="center"/>
              <w:rPr>
                <w:rFonts w:ascii="Tw Cen MT" w:hAnsi="Tw Cen MT"/>
              </w:rPr>
            </w:pPr>
          </w:p>
        </w:tc>
      </w:tr>
      <w:tr w:rsidR="0022742D" w:rsidRPr="00907778" w:rsidTr="0022742D">
        <w:trPr>
          <w:trHeight w:val="3690"/>
        </w:trPr>
        <w:tc>
          <w:tcPr>
            <w:tcW w:w="3575" w:type="dxa"/>
            <w:vMerge/>
            <w:shd w:val="clear" w:color="auto" w:fill="auto"/>
          </w:tcPr>
          <w:p w:rsidR="0022742D" w:rsidRDefault="0022742D" w:rsidP="00991C31">
            <w:pPr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2742D" w:rsidRPr="00907778" w:rsidRDefault="0022742D" w:rsidP="0090777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</w:tcPr>
          <w:p w:rsidR="0022742D" w:rsidRPr="00907778" w:rsidRDefault="0022742D" w:rsidP="00907778">
            <w:pPr>
              <w:jc w:val="center"/>
              <w:rPr>
                <w:rFonts w:ascii="Tw Cen MT" w:hAnsi="Tw Cen MT"/>
              </w:rPr>
            </w:pPr>
          </w:p>
        </w:tc>
      </w:tr>
    </w:tbl>
    <w:p w:rsidR="00907778" w:rsidRDefault="00907778" w:rsidP="006B1C4E">
      <w:pPr>
        <w:rPr>
          <w:rFonts w:ascii="Tw Cen MT" w:hAnsi="Tw Cen MT"/>
        </w:rPr>
      </w:pPr>
    </w:p>
    <w:p w:rsidR="0022742D" w:rsidRDefault="0022742D" w:rsidP="006B1C4E">
      <w:pPr>
        <w:rPr>
          <w:rFonts w:ascii="Tw Cen MT" w:hAnsi="Tw Cen M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5"/>
        <w:gridCol w:w="3898"/>
        <w:gridCol w:w="6341"/>
      </w:tblGrid>
      <w:tr w:rsidR="0022742D" w:rsidRPr="00907778" w:rsidTr="0022742D">
        <w:tc>
          <w:tcPr>
            <w:tcW w:w="3575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Say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1: Knowledge &amp; Comprehension)</w:t>
            </w:r>
          </w:p>
        </w:tc>
        <w:tc>
          <w:tcPr>
            <w:tcW w:w="3898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Mean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2: Application &amp; Analysis)</w:t>
            </w:r>
          </w:p>
        </w:tc>
        <w:tc>
          <w:tcPr>
            <w:tcW w:w="6341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Matter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3: Synthesis &amp; Evaluation)</w:t>
            </w:r>
          </w:p>
        </w:tc>
      </w:tr>
      <w:tr w:rsidR="0022742D" w:rsidRPr="00907778" w:rsidTr="0022742D">
        <w:tc>
          <w:tcPr>
            <w:tcW w:w="3575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say? Paraphrase or Summarize it!</w:t>
            </w:r>
          </w:p>
        </w:tc>
        <w:tc>
          <w:tcPr>
            <w:tcW w:w="3898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mean? How do you interpret this? Read between the lines.</w:t>
            </w:r>
          </w:p>
        </w:tc>
        <w:tc>
          <w:tcPr>
            <w:tcW w:w="6341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 xml:space="preserve">Why is this important in real life? Why does it matter to others? What </w:t>
            </w:r>
            <w:r>
              <w:rPr>
                <w:rFonts w:ascii="Tw Cen MT" w:hAnsi="Tw Cen MT"/>
              </w:rPr>
              <w:t>a</w:t>
            </w:r>
            <w:r w:rsidRPr="00907778">
              <w:rPr>
                <w:rFonts w:ascii="Tw Cen MT" w:hAnsi="Tw Cen MT"/>
              </w:rPr>
              <w:t>re the implications?</w:t>
            </w:r>
            <w:r>
              <w:rPr>
                <w:rFonts w:ascii="Tw Cen MT" w:hAnsi="Tw Cen MT"/>
              </w:rPr>
              <w:t xml:space="preserve"> What is your opinion about it, and why? (Continue on the back if you need more space)</w:t>
            </w:r>
          </w:p>
        </w:tc>
      </w:tr>
      <w:tr w:rsidR="0022742D" w:rsidRPr="00907778" w:rsidTr="0022742D">
        <w:trPr>
          <w:trHeight w:val="3195"/>
        </w:trPr>
        <w:tc>
          <w:tcPr>
            <w:tcW w:w="3575" w:type="dxa"/>
            <w:vMerge w:val="restart"/>
            <w:shd w:val="clear" w:color="auto" w:fill="auto"/>
          </w:tcPr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Pr="00611D1C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  <w:color w:val="FF0000"/>
              </w:rPr>
            </w:pPr>
          </w:p>
          <w:p w:rsidR="0022742D" w:rsidRPr="00611D1C" w:rsidRDefault="0022742D" w:rsidP="00995FE2">
            <w:pPr>
              <w:rPr>
                <w:rFonts w:ascii="Tw Cen MT" w:hAnsi="Tw Cen MT"/>
                <w:color w:val="FF0000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</w:tr>
      <w:tr w:rsidR="0022742D" w:rsidRPr="00907778" w:rsidTr="0022742D">
        <w:trPr>
          <w:trHeight w:val="3645"/>
        </w:trPr>
        <w:tc>
          <w:tcPr>
            <w:tcW w:w="3575" w:type="dxa"/>
            <w:vMerge/>
            <w:shd w:val="clear" w:color="auto" w:fill="auto"/>
          </w:tcPr>
          <w:p w:rsidR="0022742D" w:rsidRDefault="0022742D" w:rsidP="00995FE2">
            <w:pPr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</w:tr>
    </w:tbl>
    <w:p w:rsidR="0022742D" w:rsidRPr="00907778" w:rsidRDefault="0022742D" w:rsidP="0022742D">
      <w:pPr>
        <w:rPr>
          <w:rFonts w:ascii="Tw Cen MT" w:hAnsi="Tw Cen MT"/>
        </w:rPr>
      </w:pPr>
    </w:p>
    <w:p w:rsidR="0022742D" w:rsidRDefault="0022742D" w:rsidP="006B1C4E">
      <w:pPr>
        <w:rPr>
          <w:rFonts w:ascii="Tw Cen MT" w:hAnsi="Tw Cen MT"/>
        </w:rPr>
      </w:pPr>
    </w:p>
    <w:p w:rsidR="0022742D" w:rsidRDefault="0022742D" w:rsidP="006B1C4E">
      <w:pPr>
        <w:rPr>
          <w:rFonts w:ascii="Tw Cen MT" w:hAnsi="Tw Cen MT"/>
        </w:rPr>
      </w:pPr>
    </w:p>
    <w:p w:rsidR="0022742D" w:rsidRDefault="0022742D" w:rsidP="006B1C4E">
      <w:pPr>
        <w:rPr>
          <w:rFonts w:ascii="Tw Cen MT" w:hAnsi="Tw Cen MT"/>
        </w:rPr>
      </w:pPr>
    </w:p>
    <w:p w:rsidR="0022742D" w:rsidRDefault="0022742D" w:rsidP="006B1C4E">
      <w:pPr>
        <w:rPr>
          <w:rFonts w:ascii="Tw Cen MT" w:hAnsi="Tw Cen MT"/>
        </w:rPr>
      </w:pPr>
    </w:p>
    <w:p w:rsidR="0022742D" w:rsidRPr="00907778" w:rsidRDefault="0022742D" w:rsidP="0022742D">
      <w:pPr>
        <w:rPr>
          <w:rFonts w:ascii="Tw Cen MT" w:hAnsi="Tw Cen MT"/>
        </w:rPr>
      </w:pPr>
      <w:r w:rsidRPr="00907778">
        <w:rPr>
          <w:rFonts w:ascii="Tw Cen MT" w:hAnsi="Tw Cen MT"/>
        </w:rPr>
        <w:t>Name: _____</w:t>
      </w:r>
      <w:r>
        <w:rPr>
          <w:rFonts w:ascii="Tw Cen MT" w:hAnsi="Tw Cen MT"/>
        </w:rPr>
        <w:t>________________________</w:t>
      </w:r>
      <w:r w:rsidRPr="00907778">
        <w:rPr>
          <w:rFonts w:ascii="Tw Cen MT" w:hAnsi="Tw Cen MT"/>
        </w:rPr>
        <w:t>_________________</w:t>
      </w:r>
      <w:r>
        <w:rPr>
          <w:rFonts w:ascii="Tw Cen MT" w:hAnsi="Tw Cen MT"/>
        </w:rPr>
        <w:t>___</w:t>
      </w:r>
      <w:proofErr w:type="gramStart"/>
      <w:r>
        <w:rPr>
          <w:rFonts w:ascii="Tw Cen MT" w:hAnsi="Tw Cen MT"/>
        </w:rPr>
        <w:t>_  CPT</w:t>
      </w:r>
      <w:proofErr w:type="gramEnd"/>
      <w:r>
        <w:rPr>
          <w:rFonts w:ascii="Tw Cen MT" w:hAnsi="Tw Cen MT"/>
        </w:rPr>
        <w:t>: ________________</w:t>
      </w:r>
      <w:r w:rsidRPr="00907778">
        <w:rPr>
          <w:rFonts w:ascii="Tw Cen MT" w:hAnsi="Tw Cen MT"/>
        </w:rPr>
        <w:t>________ A</w:t>
      </w:r>
      <w:r>
        <w:rPr>
          <w:rFonts w:ascii="Tw Cen MT" w:hAnsi="Tw Cen MT"/>
        </w:rPr>
        <w:t>dv. __________________</w:t>
      </w:r>
      <w:r w:rsidRPr="00907778">
        <w:rPr>
          <w:rFonts w:ascii="Tw Cen MT" w:hAnsi="Tw Cen MT"/>
        </w:rPr>
        <w:t>____</w:t>
      </w:r>
    </w:p>
    <w:p w:rsidR="0022742D" w:rsidRDefault="0022742D" w:rsidP="0022742D">
      <w:pPr>
        <w:jc w:val="center"/>
        <w:rPr>
          <w:rFonts w:ascii="Tw Cen MT" w:hAnsi="Tw Cen MT"/>
          <w:b/>
          <w:sz w:val="28"/>
          <w:u w:val="single"/>
        </w:rPr>
      </w:pPr>
    </w:p>
    <w:p w:rsidR="0022742D" w:rsidRPr="00991C31" w:rsidRDefault="0022742D" w:rsidP="0022742D">
      <w:pPr>
        <w:jc w:val="center"/>
        <w:rPr>
          <w:rFonts w:ascii="Tw Cen MT" w:hAnsi="Tw Cen MT"/>
          <w:b/>
          <w:sz w:val="28"/>
          <w:u w:val="single"/>
        </w:rPr>
      </w:pPr>
      <w:r w:rsidRPr="006B1C4E">
        <w:rPr>
          <w:rFonts w:ascii="Tw Cen MT" w:hAnsi="Tw Cen MT"/>
          <w:b/>
          <w:sz w:val="28"/>
          <w:u w:val="single"/>
        </w:rPr>
        <w:t>SAY, MEAN, MATTER</w:t>
      </w:r>
    </w:p>
    <w:p w:rsidR="0022742D" w:rsidRPr="00907778" w:rsidRDefault="0022742D" w:rsidP="0022742D">
      <w:pPr>
        <w:rPr>
          <w:rFonts w:ascii="Tw Cen MT" w:hAnsi="Tw Cen MT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75"/>
        <w:gridCol w:w="3898"/>
        <w:gridCol w:w="6341"/>
      </w:tblGrid>
      <w:tr w:rsidR="0022742D" w:rsidRPr="00907778" w:rsidTr="0022742D">
        <w:tc>
          <w:tcPr>
            <w:tcW w:w="3575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Say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1: Knowledge &amp; Comprehension)</w:t>
            </w:r>
          </w:p>
        </w:tc>
        <w:tc>
          <w:tcPr>
            <w:tcW w:w="3898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Mean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2: Application &amp; Analysis)</w:t>
            </w:r>
          </w:p>
        </w:tc>
        <w:tc>
          <w:tcPr>
            <w:tcW w:w="6341" w:type="dxa"/>
          </w:tcPr>
          <w:p w:rsidR="0022742D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 xml:space="preserve">Matter </w:t>
            </w:r>
          </w:p>
          <w:p w:rsidR="0022742D" w:rsidRPr="006B1C4E" w:rsidRDefault="0022742D" w:rsidP="00995FE2">
            <w:pPr>
              <w:jc w:val="center"/>
              <w:rPr>
                <w:rFonts w:ascii="Tw Cen MT" w:hAnsi="Tw Cen MT"/>
                <w:b/>
              </w:rPr>
            </w:pPr>
            <w:r w:rsidRPr="006B1C4E">
              <w:rPr>
                <w:rFonts w:ascii="Tw Cen MT" w:hAnsi="Tw Cen MT"/>
                <w:b/>
              </w:rPr>
              <w:t>(Level 3: Synthesis &amp; Evaluation)</w:t>
            </w:r>
          </w:p>
        </w:tc>
      </w:tr>
      <w:tr w:rsidR="0022742D" w:rsidRPr="00907778" w:rsidTr="0022742D">
        <w:tc>
          <w:tcPr>
            <w:tcW w:w="3575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say? Paraphrase or Summarize it!</w:t>
            </w:r>
          </w:p>
        </w:tc>
        <w:tc>
          <w:tcPr>
            <w:tcW w:w="3898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>What does it mean? How do you interpret this? Read between the lines.</w:t>
            </w:r>
          </w:p>
        </w:tc>
        <w:tc>
          <w:tcPr>
            <w:tcW w:w="6341" w:type="dxa"/>
          </w:tcPr>
          <w:p w:rsidR="0022742D" w:rsidRPr="00907778" w:rsidRDefault="0022742D" w:rsidP="00995FE2">
            <w:pPr>
              <w:rPr>
                <w:rFonts w:ascii="Tw Cen MT" w:hAnsi="Tw Cen MT"/>
              </w:rPr>
            </w:pPr>
            <w:r w:rsidRPr="00907778">
              <w:rPr>
                <w:rFonts w:ascii="Tw Cen MT" w:hAnsi="Tw Cen MT"/>
              </w:rPr>
              <w:t xml:space="preserve">Why is this important in real life? Why does it matter to others? What </w:t>
            </w:r>
            <w:r>
              <w:rPr>
                <w:rFonts w:ascii="Tw Cen MT" w:hAnsi="Tw Cen MT"/>
              </w:rPr>
              <w:t>a</w:t>
            </w:r>
            <w:r w:rsidRPr="00907778">
              <w:rPr>
                <w:rFonts w:ascii="Tw Cen MT" w:hAnsi="Tw Cen MT"/>
              </w:rPr>
              <w:t>re the implications?</w:t>
            </w:r>
            <w:r>
              <w:rPr>
                <w:rFonts w:ascii="Tw Cen MT" w:hAnsi="Tw Cen MT"/>
              </w:rPr>
              <w:t xml:space="preserve"> What is your opinion about it, and why? (Continue on the back if you need more space)</w:t>
            </w:r>
          </w:p>
        </w:tc>
      </w:tr>
      <w:tr w:rsidR="0022742D" w:rsidRPr="00907778" w:rsidTr="0022742D">
        <w:trPr>
          <w:trHeight w:val="3150"/>
        </w:trPr>
        <w:tc>
          <w:tcPr>
            <w:tcW w:w="3575" w:type="dxa"/>
            <w:vMerge w:val="restart"/>
            <w:shd w:val="clear" w:color="auto" w:fill="auto"/>
          </w:tcPr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</w:rPr>
            </w:pPr>
          </w:p>
          <w:p w:rsidR="0022742D" w:rsidRPr="00611D1C" w:rsidRDefault="0022742D" w:rsidP="00995FE2">
            <w:pPr>
              <w:pBdr>
                <w:bottom w:val="single" w:sz="12" w:space="1" w:color="auto"/>
              </w:pBdr>
              <w:rPr>
                <w:rFonts w:ascii="Tw Cen MT" w:hAnsi="Tw Cen MT"/>
                <w:color w:val="FF0000"/>
              </w:rPr>
            </w:pPr>
          </w:p>
          <w:p w:rsidR="0022742D" w:rsidRPr="00611D1C" w:rsidRDefault="0022742D" w:rsidP="00995FE2">
            <w:pPr>
              <w:rPr>
                <w:rFonts w:ascii="Tw Cen MT" w:hAnsi="Tw Cen MT"/>
                <w:color w:val="FF0000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jc w:val="center"/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Default="0022742D" w:rsidP="00995FE2">
            <w:pPr>
              <w:rPr>
                <w:rFonts w:ascii="Tw Cen MT" w:hAnsi="Tw Cen MT"/>
              </w:rPr>
            </w:pPr>
          </w:p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bottom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  <w:bookmarkStart w:id="0" w:name="_GoBack"/>
            <w:bookmarkEnd w:id="0"/>
          </w:p>
        </w:tc>
        <w:tc>
          <w:tcPr>
            <w:tcW w:w="6341" w:type="dxa"/>
            <w:tcBorders>
              <w:bottom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</w:tr>
      <w:tr w:rsidR="0022742D" w:rsidRPr="00907778" w:rsidTr="0022742D">
        <w:trPr>
          <w:trHeight w:val="3690"/>
        </w:trPr>
        <w:tc>
          <w:tcPr>
            <w:tcW w:w="3575" w:type="dxa"/>
            <w:vMerge/>
            <w:shd w:val="clear" w:color="auto" w:fill="auto"/>
          </w:tcPr>
          <w:p w:rsidR="0022742D" w:rsidRDefault="0022742D" w:rsidP="00995FE2">
            <w:pPr>
              <w:rPr>
                <w:rFonts w:ascii="Tw Cen MT" w:hAnsi="Tw Cen MT"/>
              </w:rPr>
            </w:pPr>
          </w:p>
        </w:tc>
        <w:tc>
          <w:tcPr>
            <w:tcW w:w="3898" w:type="dxa"/>
            <w:tcBorders>
              <w:top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6341" w:type="dxa"/>
            <w:tcBorders>
              <w:top w:val="single" w:sz="4" w:space="0" w:color="auto"/>
            </w:tcBorders>
          </w:tcPr>
          <w:p w:rsidR="0022742D" w:rsidRPr="00907778" w:rsidRDefault="0022742D" w:rsidP="00995FE2">
            <w:pPr>
              <w:jc w:val="center"/>
              <w:rPr>
                <w:rFonts w:ascii="Tw Cen MT" w:hAnsi="Tw Cen MT"/>
              </w:rPr>
            </w:pPr>
          </w:p>
        </w:tc>
      </w:tr>
    </w:tbl>
    <w:p w:rsidR="0022742D" w:rsidRPr="00907778" w:rsidRDefault="0022742D" w:rsidP="006B1C4E">
      <w:pPr>
        <w:rPr>
          <w:rFonts w:ascii="Tw Cen MT" w:hAnsi="Tw Cen MT"/>
        </w:rPr>
      </w:pPr>
    </w:p>
    <w:sectPr w:rsidR="0022742D" w:rsidRPr="00907778" w:rsidSect="00907778">
      <w:pgSz w:w="15840" w:h="12240" w:orient="landscape"/>
      <w:pgMar w:top="1152" w:right="1008" w:bottom="115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78"/>
    <w:rsid w:val="0022742D"/>
    <w:rsid w:val="00473369"/>
    <w:rsid w:val="004C106D"/>
    <w:rsid w:val="004F6738"/>
    <w:rsid w:val="00611D1C"/>
    <w:rsid w:val="006B1C4E"/>
    <w:rsid w:val="00840AE3"/>
    <w:rsid w:val="00907778"/>
    <w:rsid w:val="00991C31"/>
    <w:rsid w:val="009A1E95"/>
    <w:rsid w:val="00C25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ED6DC-478C-42E6-9C3A-A043C300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7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 Academy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Wright</dc:creator>
  <cp:keywords/>
  <cp:lastModifiedBy>Sandee Bach</cp:lastModifiedBy>
  <cp:revision>2</cp:revision>
  <cp:lastPrinted>2015-12-09T21:36:00Z</cp:lastPrinted>
  <dcterms:created xsi:type="dcterms:W3CDTF">2016-01-11T18:38:00Z</dcterms:created>
  <dcterms:modified xsi:type="dcterms:W3CDTF">2016-01-11T18:38:00Z</dcterms:modified>
</cp:coreProperties>
</file>